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BEC2" w14:textId="77777777" w:rsidR="004A5915" w:rsidRDefault="004A5915" w:rsidP="004A5915">
      <w:pPr>
        <w:pStyle w:val="Heading2"/>
        <w:rPr>
          <w:sz w:val="24"/>
          <w:szCs w:val="24"/>
        </w:rPr>
      </w:pPr>
    </w:p>
    <w:p w14:paraId="4C632DEF" w14:textId="77777777" w:rsidR="004A5915" w:rsidRPr="004A5915" w:rsidRDefault="004A5915" w:rsidP="00CB11B8">
      <w:pPr>
        <w:shd w:val="clear" w:color="auto" w:fill="FFFFFF"/>
        <w:spacing w:line="276" w:lineRule="auto"/>
        <w:jc w:val="center"/>
        <w:outlineLvl w:val="0"/>
        <w:rPr>
          <w:rFonts w:ascii="Calibri" w:eastAsia="Times New Roman" w:hAnsi="Calibri" w:cs="Calibri"/>
          <w:b/>
          <w:bCs/>
          <w:color w:val="0B0C0C"/>
          <w:kern w:val="36"/>
          <w:sz w:val="32"/>
          <w:szCs w:val="32"/>
        </w:rPr>
      </w:pPr>
      <w:r w:rsidRPr="004A5915">
        <w:rPr>
          <w:rFonts w:ascii="Calibri" w:eastAsia="Times New Roman" w:hAnsi="Calibri" w:cs="Calibri"/>
          <w:b/>
          <w:bCs/>
          <w:color w:val="0B0C0C"/>
          <w:kern w:val="36"/>
          <w:sz w:val="32"/>
          <w:szCs w:val="32"/>
        </w:rPr>
        <w:t>National Planning Policy Framework: proposed reforms and other changes to the planning system</w:t>
      </w:r>
    </w:p>
    <w:p w14:paraId="23501862" w14:textId="77777777" w:rsidR="004A5915" w:rsidRPr="00611601" w:rsidRDefault="004A5915" w:rsidP="00611601">
      <w:pPr>
        <w:shd w:val="clear" w:color="auto" w:fill="FFFFFF"/>
        <w:spacing w:after="300" w:line="276" w:lineRule="auto"/>
        <w:rPr>
          <w:rFonts w:ascii="Calibri" w:eastAsia="Times New Roman" w:hAnsi="Calibri" w:cs="Calibri"/>
          <w:color w:val="0B0C0C"/>
          <w:sz w:val="24"/>
          <w:szCs w:val="24"/>
        </w:rPr>
      </w:pPr>
    </w:p>
    <w:p w14:paraId="1B9F44FC" w14:textId="3E3D5B73" w:rsidR="004A5915" w:rsidRPr="00374B67" w:rsidRDefault="004A5915" w:rsidP="00611601">
      <w:pPr>
        <w:spacing w:line="276" w:lineRule="auto"/>
        <w:rPr>
          <w:rFonts w:ascii="Calibri" w:hAnsi="Calibri" w:cs="Calibri"/>
          <w:b/>
          <w:bCs/>
          <w:sz w:val="28"/>
          <w:szCs w:val="28"/>
        </w:rPr>
      </w:pPr>
      <w:r w:rsidRPr="00374B67">
        <w:rPr>
          <w:rFonts w:ascii="Calibri" w:hAnsi="Calibri" w:cs="Calibri"/>
          <w:b/>
          <w:bCs/>
          <w:sz w:val="28"/>
          <w:szCs w:val="28"/>
        </w:rPr>
        <w:t>Purpose of this document</w:t>
      </w:r>
    </w:p>
    <w:p w14:paraId="707FD5DA" w14:textId="77777777" w:rsidR="00734914" w:rsidRDefault="004A5915" w:rsidP="00611601">
      <w:pPr>
        <w:spacing w:line="276" w:lineRule="auto"/>
        <w:rPr>
          <w:rFonts w:ascii="Calibri" w:eastAsia="Times New Roman" w:hAnsi="Calibri" w:cs="Calibri"/>
          <w:color w:val="0B0C0C"/>
          <w:sz w:val="24"/>
          <w:szCs w:val="24"/>
        </w:rPr>
      </w:pPr>
      <w:r w:rsidRPr="00611601">
        <w:rPr>
          <w:rFonts w:ascii="Calibri" w:hAnsi="Calibri" w:cs="Calibri"/>
          <w:sz w:val="24"/>
          <w:szCs w:val="24"/>
        </w:rPr>
        <w:t xml:space="preserve">The Ministry of Housing, </w:t>
      </w:r>
      <w:r w:rsidRPr="00611601">
        <w:rPr>
          <w:rFonts w:ascii="Calibri" w:hAnsi="Calibri" w:cs="Calibri"/>
          <w:sz w:val="24"/>
          <w:szCs w:val="24"/>
        </w:rPr>
        <w:t>Communities</w:t>
      </w:r>
      <w:r w:rsidRPr="00611601">
        <w:rPr>
          <w:rFonts w:ascii="Calibri" w:hAnsi="Calibri" w:cs="Calibri"/>
          <w:sz w:val="24"/>
          <w:szCs w:val="24"/>
        </w:rPr>
        <w:t xml:space="preserve"> and Local Government has undertaken a</w:t>
      </w:r>
      <w:r w:rsidRPr="00611601">
        <w:rPr>
          <w:rFonts w:ascii="Calibri" w:hAnsi="Calibri" w:cs="Calibri"/>
          <w:sz w:val="24"/>
          <w:szCs w:val="24"/>
        </w:rPr>
        <w:t xml:space="preserve"> consultation seek</w:t>
      </w:r>
      <w:r w:rsidRPr="00611601">
        <w:rPr>
          <w:rFonts w:ascii="Calibri" w:hAnsi="Calibri" w:cs="Calibri"/>
          <w:sz w:val="24"/>
          <w:szCs w:val="24"/>
        </w:rPr>
        <w:t>ing</w:t>
      </w:r>
      <w:r w:rsidRPr="00611601">
        <w:rPr>
          <w:rFonts w:ascii="Calibri" w:hAnsi="Calibri" w:cs="Calibri"/>
          <w:sz w:val="24"/>
          <w:szCs w:val="24"/>
        </w:rPr>
        <w:t xml:space="preserve"> views on a revised version of the National Planning Policy Framework (NPPF</w:t>
      </w:r>
      <w:r w:rsidRPr="00E20C8C">
        <w:t>). T</w:t>
      </w:r>
      <w:r w:rsidRPr="00611601">
        <w:rPr>
          <w:rFonts w:ascii="Calibri" w:hAnsi="Calibri" w:cs="Calibri"/>
          <w:sz w:val="24"/>
          <w:szCs w:val="24"/>
        </w:rPr>
        <w:t>his consultation ran from</w:t>
      </w:r>
      <w:r w:rsidR="00E20C8C">
        <w:rPr>
          <w:rFonts w:ascii="Calibri" w:hAnsi="Calibri" w:cs="Calibri"/>
          <w:sz w:val="24"/>
          <w:szCs w:val="24"/>
        </w:rPr>
        <w:t xml:space="preserve"> </w:t>
      </w:r>
      <w:r w:rsidRPr="00611601">
        <w:rPr>
          <w:rFonts w:ascii="Calibri" w:hAnsi="Calibri" w:cs="Calibri"/>
          <w:sz w:val="24"/>
          <w:szCs w:val="24"/>
        </w:rPr>
        <w:t xml:space="preserve">16 December 2025 to 10 March 2026.  </w:t>
      </w:r>
      <w:r w:rsidRPr="004A5915">
        <w:rPr>
          <w:rFonts w:ascii="Calibri" w:eastAsia="Times New Roman" w:hAnsi="Calibri" w:cs="Calibri"/>
          <w:color w:val="0B0C0C"/>
          <w:sz w:val="24"/>
          <w:szCs w:val="24"/>
        </w:rPr>
        <w:t>A draft NPPF </w:t>
      </w:r>
      <w:r w:rsidRPr="00611601">
        <w:rPr>
          <w:rFonts w:ascii="Calibri" w:eastAsia="Times New Roman" w:hAnsi="Calibri" w:cs="Calibri"/>
          <w:color w:val="0B0C0C"/>
          <w:sz w:val="24"/>
          <w:szCs w:val="24"/>
        </w:rPr>
        <w:t>was</w:t>
      </w:r>
      <w:r w:rsidRPr="004A5915">
        <w:rPr>
          <w:rFonts w:ascii="Calibri" w:eastAsia="Times New Roman" w:hAnsi="Calibri" w:cs="Calibri"/>
          <w:color w:val="0B0C0C"/>
          <w:sz w:val="24"/>
          <w:szCs w:val="24"/>
        </w:rPr>
        <w:t xml:space="preserve"> published alongside th</w:t>
      </w:r>
      <w:r w:rsidR="00734914">
        <w:rPr>
          <w:rFonts w:ascii="Calibri" w:eastAsia="Times New Roman" w:hAnsi="Calibri" w:cs="Calibri"/>
          <w:color w:val="0B0C0C"/>
          <w:sz w:val="24"/>
          <w:szCs w:val="24"/>
        </w:rPr>
        <w:t>e</w:t>
      </w:r>
      <w:r w:rsidRPr="004A5915">
        <w:rPr>
          <w:rFonts w:ascii="Calibri" w:eastAsia="Times New Roman" w:hAnsi="Calibri" w:cs="Calibri"/>
          <w:color w:val="0B0C0C"/>
          <w:sz w:val="24"/>
          <w:szCs w:val="24"/>
        </w:rPr>
        <w:t xml:space="preserve"> consultation</w:t>
      </w:r>
      <w:r w:rsidRPr="00611601">
        <w:rPr>
          <w:rFonts w:ascii="Calibri" w:eastAsia="Times New Roman" w:hAnsi="Calibri" w:cs="Calibri"/>
          <w:color w:val="0B0C0C"/>
          <w:sz w:val="24"/>
          <w:szCs w:val="24"/>
        </w:rPr>
        <w:t xml:space="preserve">.  </w:t>
      </w:r>
    </w:p>
    <w:p w14:paraId="5D228B5C" w14:textId="77777777" w:rsidR="00734914" w:rsidRDefault="00734914" w:rsidP="00611601">
      <w:pPr>
        <w:spacing w:line="276" w:lineRule="auto"/>
        <w:rPr>
          <w:rFonts w:ascii="Calibri" w:eastAsia="Times New Roman" w:hAnsi="Calibri" w:cs="Calibri"/>
          <w:color w:val="0B0C0C"/>
          <w:sz w:val="24"/>
          <w:szCs w:val="24"/>
        </w:rPr>
      </w:pPr>
    </w:p>
    <w:p w14:paraId="1B5D2755" w14:textId="733BEDE6" w:rsidR="004A5915" w:rsidRPr="00611601" w:rsidRDefault="004A5915" w:rsidP="00611601">
      <w:pPr>
        <w:spacing w:line="276" w:lineRule="auto"/>
        <w:rPr>
          <w:rFonts w:ascii="Calibri" w:eastAsia="Times New Roman" w:hAnsi="Calibri" w:cs="Calibri"/>
          <w:color w:val="0B0C0C"/>
          <w:sz w:val="24"/>
          <w:szCs w:val="24"/>
        </w:rPr>
      </w:pPr>
      <w:r w:rsidRPr="00611601">
        <w:rPr>
          <w:rFonts w:ascii="Calibri" w:eastAsia="Times New Roman" w:hAnsi="Calibri" w:cs="Calibri"/>
          <w:color w:val="0B0C0C"/>
          <w:sz w:val="24"/>
          <w:szCs w:val="24"/>
        </w:rPr>
        <w:t xml:space="preserve">Advanced Oxford’s infrastructure and utilities policy group developed a response to the consultation on behalf of Advanced Oxford.  The slides that sit alongside this document were used to set the context for the group’s consideration of the proposed framework and the consultation.  The slides were prepared by Advanced Oxford’s Policy Advisor on Planning, Adrian Colwell.  </w:t>
      </w:r>
    </w:p>
    <w:p w14:paraId="7B309824" w14:textId="77777777" w:rsidR="004A5915" w:rsidRPr="00611601" w:rsidRDefault="004A5915" w:rsidP="00611601">
      <w:pPr>
        <w:spacing w:line="276" w:lineRule="auto"/>
        <w:rPr>
          <w:rFonts w:ascii="Calibri" w:eastAsia="Times New Roman" w:hAnsi="Calibri" w:cs="Calibri"/>
          <w:color w:val="0B0C0C"/>
          <w:sz w:val="24"/>
          <w:szCs w:val="24"/>
        </w:rPr>
      </w:pPr>
    </w:p>
    <w:p w14:paraId="2D7FA0C4" w14:textId="3D436ED9" w:rsidR="004A5915" w:rsidRPr="004A5915" w:rsidRDefault="004A5915" w:rsidP="00611601">
      <w:pPr>
        <w:spacing w:line="276" w:lineRule="auto"/>
        <w:rPr>
          <w:rFonts w:ascii="Calibri" w:eastAsia="Times New Roman" w:hAnsi="Calibri" w:cs="Calibri"/>
          <w:color w:val="0B0C0C"/>
          <w:sz w:val="24"/>
          <w:szCs w:val="24"/>
        </w:rPr>
      </w:pPr>
      <w:r w:rsidRPr="00611601">
        <w:rPr>
          <w:rFonts w:ascii="Calibri" w:eastAsia="Times New Roman" w:hAnsi="Calibri" w:cs="Calibri"/>
          <w:color w:val="0B0C0C"/>
          <w:sz w:val="24"/>
          <w:szCs w:val="24"/>
        </w:rPr>
        <w:t>This briefing note accompanies the slides to provide background, context and</w:t>
      </w:r>
      <w:r w:rsidR="00611601" w:rsidRPr="00611601">
        <w:rPr>
          <w:rFonts w:ascii="Calibri" w:eastAsia="Times New Roman" w:hAnsi="Calibri" w:cs="Calibri"/>
          <w:color w:val="0B0C0C"/>
          <w:sz w:val="24"/>
          <w:szCs w:val="24"/>
        </w:rPr>
        <w:t xml:space="preserve"> identifies key issues that were considered by the group as they prepared the response.  The consultation response from Advanced Oxford also accompanies this note.</w:t>
      </w:r>
    </w:p>
    <w:p w14:paraId="4E557872" w14:textId="77777777" w:rsidR="004A5915" w:rsidRPr="00611601" w:rsidRDefault="004A5915" w:rsidP="00611601">
      <w:pPr>
        <w:pStyle w:val="Heading2"/>
        <w:spacing w:line="276" w:lineRule="auto"/>
        <w:rPr>
          <w:rFonts w:ascii="Calibri" w:hAnsi="Calibri" w:cs="Calibri"/>
          <w:sz w:val="24"/>
          <w:szCs w:val="24"/>
        </w:rPr>
      </w:pPr>
    </w:p>
    <w:p w14:paraId="19A18006" w14:textId="6FE2E6C6" w:rsidR="004A5915" w:rsidRPr="00734914" w:rsidRDefault="004A5915" w:rsidP="00611601">
      <w:pPr>
        <w:pStyle w:val="Heading2"/>
        <w:spacing w:line="276" w:lineRule="auto"/>
        <w:rPr>
          <w:rFonts w:ascii="Calibri" w:hAnsi="Calibri" w:cs="Calibri"/>
          <w:b/>
          <w:bCs/>
          <w:sz w:val="28"/>
          <w:szCs w:val="28"/>
        </w:rPr>
      </w:pPr>
      <w:r w:rsidRPr="00734914">
        <w:rPr>
          <w:rFonts w:ascii="Calibri" w:hAnsi="Calibri" w:cs="Calibri"/>
          <w:b/>
          <w:bCs/>
          <w:sz w:val="28"/>
          <w:szCs w:val="28"/>
        </w:rPr>
        <w:t>The NPPF Consultation</w:t>
      </w:r>
    </w:p>
    <w:p w14:paraId="63B9371A" w14:textId="493FF57B" w:rsidR="004A5915" w:rsidRPr="00611601" w:rsidRDefault="004A5915" w:rsidP="00611601">
      <w:pPr>
        <w:spacing w:before="80" w:after="80" w:line="276" w:lineRule="auto"/>
        <w:rPr>
          <w:rFonts w:ascii="Calibri" w:hAnsi="Calibri" w:cs="Calibri"/>
          <w:sz w:val="24"/>
          <w:szCs w:val="24"/>
        </w:rPr>
      </w:pPr>
      <w:r w:rsidRPr="00611601">
        <w:rPr>
          <w:rFonts w:ascii="Calibri" w:hAnsi="Calibri" w:cs="Calibri"/>
          <w:sz w:val="24"/>
          <w:szCs w:val="24"/>
        </w:rPr>
        <w:t>The National Planning Policy Framework (NPPF) is the overarching planning guidance for England. Published for consultation in December 2024, this version is one of a series of iterative updates since 2012. It covers local plan-making, planning applications, and national infrastructure decisions. Subject to ministerial sign-off following consultation, it is expected to come into force around June or July 202</w:t>
      </w:r>
      <w:r w:rsidR="005A4F8C">
        <w:rPr>
          <w:rFonts w:ascii="Calibri" w:hAnsi="Calibri" w:cs="Calibri"/>
          <w:sz w:val="24"/>
          <w:szCs w:val="24"/>
        </w:rPr>
        <w:t>6</w:t>
      </w:r>
      <w:r w:rsidRPr="00611601">
        <w:rPr>
          <w:rFonts w:ascii="Calibri" w:hAnsi="Calibri" w:cs="Calibri"/>
          <w:sz w:val="24"/>
          <w:szCs w:val="24"/>
        </w:rPr>
        <w:t>.</w:t>
      </w:r>
    </w:p>
    <w:p w14:paraId="2193DC5A" w14:textId="77777777" w:rsidR="005A4F8C" w:rsidRDefault="005A4F8C" w:rsidP="00611601">
      <w:pPr>
        <w:spacing w:before="80" w:after="80" w:line="276" w:lineRule="auto"/>
        <w:rPr>
          <w:rFonts w:ascii="Calibri" w:hAnsi="Calibri" w:cs="Calibri"/>
          <w:sz w:val="24"/>
          <w:szCs w:val="24"/>
        </w:rPr>
      </w:pPr>
    </w:p>
    <w:p w14:paraId="5383C0E1" w14:textId="36B08487" w:rsidR="004A5915" w:rsidRPr="00611601" w:rsidRDefault="004A5915" w:rsidP="00611601">
      <w:pPr>
        <w:spacing w:before="80" w:after="80" w:line="276" w:lineRule="auto"/>
        <w:rPr>
          <w:rFonts w:ascii="Calibri" w:hAnsi="Calibri" w:cs="Calibri"/>
          <w:sz w:val="24"/>
          <w:szCs w:val="24"/>
        </w:rPr>
      </w:pPr>
      <w:r w:rsidRPr="00611601">
        <w:rPr>
          <w:rFonts w:ascii="Calibri" w:hAnsi="Calibri" w:cs="Calibri"/>
          <w:sz w:val="24"/>
          <w:szCs w:val="24"/>
        </w:rPr>
        <w:t xml:space="preserve">The NPPF carries significant legal weight. It is used in planning appeals and plan examinations, and local plan policies that conflict with it risk being struck out by </w:t>
      </w:r>
      <w:r w:rsidR="005A4F8C">
        <w:rPr>
          <w:rFonts w:ascii="Calibri" w:hAnsi="Calibri" w:cs="Calibri"/>
          <w:sz w:val="24"/>
          <w:szCs w:val="24"/>
        </w:rPr>
        <w:t>Planning I</w:t>
      </w:r>
      <w:r w:rsidRPr="00611601">
        <w:rPr>
          <w:rFonts w:ascii="Calibri" w:hAnsi="Calibri" w:cs="Calibri"/>
          <w:sz w:val="24"/>
          <w:szCs w:val="24"/>
        </w:rPr>
        <w:t xml:space="preserve">nspectors. </w:t>
      </w:r>
      <w:r w:rsidR="008121C9">
        <w:rPr>
          <w:rFonts w:ascii="Calibri" w:hAnsi="Calibri" w:cs="Calibri"/>
          <w:sz w:val="24"/>
          <w:szCs w:val="24"/>
        </w:rPr>
        <w:t xml:space="preserve"> I</w:t>
      </w:r>
      <w:r w:rsidRPr="00611601">
        <w:rPr>
          <w:rFonts w:ascii="Calibri" w:hAnsi="Calibri" w:cs="Calibri"/>
          <w:sz w:val="24"/>
          <w:szCs w:val="24"/>
        </w:rPr>
        <w:t>t is a legal guide in practice, not merely guidance — 'having force of weight' in planning decisions.</w:t>
      </w:r>
    </w:p>
    <w:p w14:paraId="008B48D1" w14:textId="77777777" w:rsidR="004A5915" w:rsidRPr="00611601" w:rsidRDefault="004A5915" w:rsidP="00611601">
      <w:pPr>
        <w:spacing w:before="80" w:after="80" w:line="276" w:lineRule="auto"/>
        <w:rPr>
          <w:rFonts w:ascii="Calibri" w:hAnsi="Calibri" w:cs="Calibri"/>
          <w:sz w:val="24"/>
          <w:szCs w:val="24"/>
        </w:rPr>
      </w:pPr>
    </w:p>
    <w:p w14:paraId="7A751B91" w14:textId="37F0F5F3" w:rsidR="004A5915" w:rsidRPr="008121C9" w:rsidRDefault="004A5915" w:rsidP="00611601">
      <w:pPr>
        <w:pStyle w:val="Heading2"/>
        <w:spacing w:line="276" w:lineRule="auto"/>
        <w:rPr>
          <w:rFonts w:ascii="Calibri" w:hAnsi="Calibri" w:cs="Calibri"/>
          <w:b/>
          <w:bCs/>
          <w:sz w:val="28"/>
          <w:szCs w:val="28"/>
        </w:rPr>
      </w:pPr>
      <w:r w:rsidRPr="008121C9">
        <w:rPr>
          <w:rFonts w:ascii="Calibri" w:hAnsi="Calibri" w:cs="Calibri"/>
          <w:b/>
          <w:bCs/>
          <w:sz w:val="28"/>
          <w:szCs w:val="28"/>
        </w:rPr>
        <w:t>Key changes in this version</w:t>
      </w:r>
      <w:r w:rsidR="00CB11B8">
        <w:rPr>
          <w:rFonts w:ascii="Calibri" w:hAnsi="Calibri" w:cs="Calibri"/>
          <w:b/>
          <w:bCs/>
          <w:sz w:val="28"/>
          <w:szCs w:val="28"/>
        </w:rPr>
        <w:t xml:space="preserve"> of the </w:t>
      </w:r>
      <w:r w:rsidR="003377D1">
        <w:rPr>
          <w:rFonts w:ascii="Calibri" w:hAnsi="Calibri" w:cs="Calibri"/>
          <w:b/>
          <w:bCs/>
          <w:sz w:val="28"/>
          <w:szCs w:val="28"/>
        </w:rPr>
        <w:t>NPPF</w:t>
      </w:r>
    </w:p>
    <w:p w14:paraId="79AF78DE" w14:textId="77777777" w:rsidR="004A5915" w:rsidRPr="00611601" w:rsidRDefault="004A5915" w:rsidP="00611601">
      <w:pPr>
        <w:spacing w:before="80" w:after="80" w:line="276" w:lineRule="auto"/>
        <w:rPr>
          <w:rFonts w:ascii="Calibri" w:hAnsi="Calibri" w:cs="Calibri"/>
          <w:sz w:val="24"/>
          <w:szCs w:val="24"/>
        </w:rPr>
      </w:pPr>
      <w:r w:rsidRPr="00611601">
        <w:rPr>
          <w:rFonts w:ascii="Calibri" w:hAnsi="Calibri" w:cs="Calibri"/>
          <w:sz w:val="24"/>
          <w:szCs w:val="24"/>
        </w:rPr>
        <w:t>The following areas are most relevant to Advanced Oxford's interests:</w:t>
      </w:r>
    </w:p>
    <w:p w14:paraId="0FBC5BDB" w14:textId="77777777" w:rsidR="006F4E7F" w:rsidRDefault="006F4E7F" w:rsidP="00611601">
      <w:pPr>
        <w:spacing w:before="200" w:after="100" w:line="276" w:lineRule="auto"/>
        <w:rPr>
          <w:rFonts w:ascii="Calibri" w:hAnsi="Calibri" w:cs="Calibri"/>
          <w:sz w:val="24"/>
          <w:szCs w:val="24"/>
        </w:rPr>
      </w:pPr>
    </w:p>
    <w:p w14:paraId="769CB282" w14:textId="487C6483" w:rsidR="004A5915" w:rsidRPr="006F4E7F" w:rsidRDefault="004A5915" w:rsidP="006F4E7F">
      <w:pPr>
        <w:pStyle w:val="ListParagraph"/>
        <w:numPr>
          <w:ilvl w:val="0"/>
          <w:numId w:val="3"/>
        </w:numPr>
        <w:spacing w:before="200" w:after="100" w:line="276" w:lineRule="auto"/>
        <w:rPr>
          <w:rFonts w:ascii="Calibri" w:hAnsi="Calibri" w:cs="Calibri"/>
          <w:sz w:val="24"/>
          <w:szCs w:val="24"/>
        </w:rPr>
      </w:pPr>
      <w:r w:rsidRPr="006F4E7F">
        <w:rPr>
          <w:rFonts w:ascii="Calibri" w:hAnsi="Calibri" w:cs="Calibri"/>
          <w:b/>
          <w:bCs/>
          <w:sz w:val="24"/>
          <w:szCs w:val="24"/>
        </w:rPr>
        <w:t>Local plan reform</w:t>
      </w:r>
    </w:p>
    <w:p w14:paraId="747929FF" w14:textId="77777777" w:rsidR="004A5915" w:rsidRPr="00611601" w:rsidRDefault="004A5915" w:rsidP="00611601">
      <w:pPr>
        <w:pStyle w:val="ListParagraph"/>
        <w:numPr>
          <w:ilvl w:val="0"/>
          <w:numId w:val="1"/>
        </w:numPr>
        <w:spacing w:before="60" w:after="60" w:line="276" w:lineRule="auto"/>
        <w:contextualSpacing w:val="0"/>
        <w:rPr>
          <w:rFonts w:ascii="Calibri" w:hAnsi="Calibri" w:cs="Calibri"/>
          <w:sz w:val="24"/>
          <w:szCs w:val="24"/>
        </w:rPr>
      </w:pPr>
      <w:r w:rsidRPr="00611601">
        <w:rPr>
          <w:rFonts w:ascii="Calibri" w:hAnsi="Calibri" w:cs="Calibri"/>
          <w:sz w:val="24"/>
          <w:szCs w:val="24"/>
        </w:rPr>
        <w:t>Plans must be shorter and must not duplicate national policy. Inspectors will remove replicating sections.</w:t>
      </w:r>
    </w:p>
    <w:p w14:paraId="674D16BE" w14:textId="5532FCF5" w:rsidR="004A5915" w:rsidRPr="00611601" w:rsidRDefault="006F4E7F" w:rsidP="00611601">
      <w:pPr>
        <w:pStyle w:val="ListParagraph"/>
        <w:numPr>
          <w:ilvl w:val="0"/>
          <w:numId w:val="1"/>
        </w:numPr>
        <w:spacing w:before="60" w:after="60" w:line="276" w:lineRule="auto"/>
        <w:contextualSpacing w:val="0"/>
        <w:rPr>
          <w:rFonts w:ascii="Calibri" w:hAnsi="Calibri" w:cs="Calibri"/>
          <w:sz w:val="24"/>
          <w:szCs w:val="24"/>
        </w:rPr>
      </w:pPr>
      <w:r>
        <w:rPr>
          <w:rFonts w:ascii="Calibri" w:hAnsi="Calibri" w:cs="Calibri"/>
          <w:sz w:val="24"/>
          <w:szCs w:val="24"/>
        </w:rPr>
        <w:t>A g</w:t>
      </w:r>
      <w:r w:rsidR="004A5915" w:rsidRPr="00611601">
        <w:rPr>
          <w:rFonts w:ascii="Calibri" w:hAnsi="Calibri" w:cs="Calibri"/>
          <w:sz w:val="24"/>
          <w:szCs w:val="24"/>
        </w:rPr>
        <w:t>reater emphasis on deliverable site allocations — councils must engage more closely with site promoters to understand barriers to delivery.</w:t>
      </w:r>
    </w:p>
    <w:p w14:paraId="136E61A6" w14:textId="77777777" w:rsidR="004A5915" w:rsidRPr="00611601" w:rsidRDefault="004A5915" w:rsidP="00611601">
      <w:pPr>
        <w:pStyle w:val="ListParagraph"/>
        <w:numPr>
          <w:ilvl w:val="0"/>
          <w:numId w:val="1"/>
        </w:numPr>
        <w:spacing w:before="60" w:after="60" w:line="276" w:lineRule="auto"/>
        <w:contextualSpacing w:val="0"/>
        <w:rPr>
          <w:rFonts w:ascii="Calibri" w:hAnsi="Calibri" w:cs="Calibri"/>
          <w:sz w:val="24"/>
          <w:szCs w:val="24"/>
        </w:rPr>
      </w:pPr>
      <w:r w:rsidRPr="00611601">
        <w:rPr>
          <w:rFonts w:ascii="Calibri" w:hAnsi="Calibri" w:cs="Calibri"/>
          <w:sz w:val="24"/>
          <w:szCs w:val="24"/>
        </w:rPr>
        <w:t>Stricter timetabling: local plans must be produced to a schedule. Non-compliant plans risk rejection by the Planning Inspectorate, creating vulnerability to speculative development.</w:t>
      </w:r>
    </w:p>
    <w:p w14:paraId="0CA4E2FE" w14:textId="77777777" w:rsidR="004A5915" w:rsidRPr="00611601" w:rsidRDefault="004A5915" w:rsidP="00611601">
      <w:pPr>
        <w:pStyle w:val="ListParagraph"/>
        <w:numPr>
          <w:ilvl w:val="0"/>
          <w:numId w:val="1"/>
        </w:numPr>
        <w:spacing w:before="60" w:after="60" w:line="276" w:lineRule="auto"/>
        <w:contextualSpacing w:val="0"/>
        <w:rPr>
          <w:rFonts w:ascii="Calibri" w:hAnsi="Calibri" w:cs="Calibri"/>
          <w:sz w:val="24"/>
          <w:szCs w:val="24"/>
        </w:rPr>
      </w:pPr>
      <w:r w:rsidRPr="00611601">
        <w:rPr>
          <w:rFonts w:ascii="Calibri" w:hAnsi="Calibri" w:cs="Calibri"/>
          <w:sz w:val="24"/>
          <w:szCs w:val="24"/>
        </w:rPr>
        <w:t xml:space="preserve">New requirement for plans to give </w:t>
      </w:r>
      <w:r w:rsidRPr="00023997">
        <w:rPr>
          <w:rFonts w:ascii="Calibri" w:hAnsi="Calibri" w:cs="Calibri"/>
          <w:b/>
          <w:bCs/>
          <w:i/>
          <w:iCs/>
          <w:sz w:val="24"/>
          <w:szCs w:val="24"/>
        </w:rPr>
        <w:t>more weight to economic development alongside housing</w:t>
      </w:r>
      <w:r w:rsidRPr="00611601">
        <w:rPr>
          <w:rFonts w:ascii="Calibri" w:hAnsi="Calibri" w:cs="Calibri"/>
          <w:sz w:val="24"/>
          <w:szCs w:val="24"/>
        </w:rPr>
        <w:t xml:space="preserve"> — described as 'one of the central things' new plans should do.</w:t>
      </w:r>
    </w:p>
    <w:p w14:paraId="2CA4DAE7" w14:textId="77777777" w:rsidR="004A5915" w:rsidRPr="00611601" w:rsidRDefault="004A5915" w:rsidP="00611601">
      <w:pPr>
        <w:spacing w:before="80" w:after="80" w:line="276" w:lineRule="auto"/>
        <w:rPr>
          <w:rFonts w:ascii="Calibri" w:hAnsi="Calibri" w:cs="Calibri"/>
          <w:sz w:val="24"/>
          <w:szCs w:val="24"/>
        </w:rPr>
      </w:pPr>
    </w:p>
    <w:p w14:paraId="4B6EA556" w14:textId="03F175FF" w:rsidR="004A5915" w:rsidRPr="000E2AA3" w:rsidRDefault="004A5915" w:rsidP="000E2AA3">
      <w:pPr>
        <w:pStyle w:val="ListParagraph"/>
        <w:numPr>
          <w:ilvl w:val="0"/>
          <w:numId w:val="3"/>
        </w:numPr>
        <w:spacing w:before="200" w:after="100" w:line="276" w:lineRule="auto"/>
        <w:rPr>
          <w:rFonts w:ascii="Calibri" w:hAnsi="Calibri" w:cs="Calibri"/>
          <w:sz w:val="24"/>
          <w:szCs w:val="24"/>
        </w:rPr>
      </w:pPr>
      <w:r w:rsidRPr="000E2AA3">
        <w:rPr>
          <w:rFonts w:ascii="Calibri" w:hAnsi="Calibri" w:cs="Calibri"/>
          <w:b/>
          <w:bCs/>
          <w:sz w:val="24"/>
          <w:szCs w:val="24"/>
        </w:rPr>
        <w:t>Economic development</w:t>
      </w:r>
    </w:p>
    <w:p w14:paraId="6EC9B0C7" w14:textId="77777777" w:rsidR="004A5915" w:rsidRPr="00611601" w:rsidRDefault="004A5915" w:rsidP="00611601">
      <w:pPr>
        <w:pStyle w:val="ListParagraph"/>
        <w:numPr>
          <w:ilvl w:val="0"/>
          <w:numId w:val="1"/>
        </w:numPr>
        <w:spacing w:before="60" w:after="60" w:line="276" w:lineRule="auto"/>
        <w:contextualSpacing w:val="0"/>
        <w:rPr>
          <w:rFonts w:ascii="Calibri" w:hAnsi="Calibri" w:cs="Calibri"/>
          <w:sz w:val="24"/>
          <w:szCs w:val="24"/>
        </w:rPr>
      </w:pPr>
      <w:r w:rsidRPr="00611601">
        <w:rPr>
          <w:rFonts w:ascii="Calibri" w:hAnsi="Calibri" w:cs="Calibri"/>
          <w:sz w:val="24"/>
          <w:szCs w:val="24"/>
        </w:rPr>
        <w:t>The industrial strategy's eight growth sectors now appear in the NPPF for the first time, with logistics receiving a dedicated section.</w:t>
      </w:r>
    </w:p>
    <w:p w14:paraId="4A8FA8A5" w14:textId="33846A59" w:rsidR="004A5915" w:rsidRPr="00611601" w:rsidRDefault="004A5915" w:rsidP="00611601">
      <w:pPr>
        <w:pStyle w:val="ListParagraph"/>
        <w:numPr>
          <w:ilvl w:val="0"/>
          <w:numId w:val="1"/>
        </w:numPr>
        <w:spacing w:before="60" w:after="60" w:line="276" w:lineRule="auto"/>
        <w:contextualSpacing w:val="0"/>
        <w:rPr>
          <w:rFonts w:ascii="Calibri" w:hAnsi="Calibri" w:cs="Calibri"/>
          <w:sz w:val="24"/>
          <w:szCs w:val="24"/>
        </w:rPr>
      </w:pPr>
      <w:r w:rsidRPr="00611601">
        <w:rPr>
          <w:rFonts w:ascii="Calibri" w:hAnsi="Calibri" w:cs="Calibri"/>
          <w:sz w:val="24"/>
          <w:szCs w:val="24"/>
        </w:rPr>
        <w:t>Other priority sectors — defence, data centres, life sciences, advanced technology — are referenced but do not yet have equivalent policy weight</w:t>
      </w:r>
      <w:r w:rsidR="000E2AA3">
        <w:rPr>
          <w:rFonts w:ascii="Calibri" w:hAnsi="Calibri" w:cs="Calibri"/>
          <w:sz w:val="24"/>
          <w:szCs w:val="24"/>
        </w:rPr>
        <w:t xml:space="preserve"> as logistics</w:t>
      </w:r>
      <w:r w:rsidRPr="00611601">
        <w:rPr>
          <w:rFonts w:ascii="Calibri" w:hAnsi="Calibri" w:cs="Calibri"/>
          <w:sz w:val="24"/>
          <w:szCs w:val="24"/>
        </w:rPr>
        <w:t>.</w:t>
      </w:r>
    </w:p>
    <w:p w14:paraId="0445A094" w14:textId="77777777" w:rsidR="004A5915" w:rsidRPr="00611601" w:rsidRDefault="004A5915" w:rsidP="00611601">
      <w:pPr>
        <w:pStyle w:val="ListParagraph"/>
        <w:numPr>
          <w:ilvl w:val="0"/>
          <w:numId w:val="1"/>
        </w:numPr>
        <w:spacing w:before="60" w:after="60" w:line="276" w:lineRule="auto"/>
        <w:contextualSpacing w:val="0"/>
        <w:rPr>
          <w:rFonts w:ascii="Calibri" w:hAnsi="Calibri" w:cs="Calibri"/>
          <w:sz w:val="24"/>
          <w:szCs w:val="24"/>
        </w:rPr>
      </w:pPr>
      <w:r w:rsidRPr="00611601">
        <w:rPr>
          <w:rFonts w:ascii="Calibri" w:hAnsi="Calibri" w:cs="Calibri"/>
          <w:sz w:val="24"/>
          <w:szCs w:val="24"/>
        </w:rPr>
        <w:t>Local Development Orders (LDOs) are promoted as a mechanism to speed up delivery on allocated sites. Milton Park in the Vale of White Horse was cited as a working example (planning decisions within 10 working days within agreed parameters).</w:t>
      </w:r>
    </w:p>
    <w:p w14:paraId="7E2E110C" w14:textId="77777777" w:rsidR="004A5915" w:rsidRPr="00611601" w:rsidRDefault="004A5915" w:rsidP="00611601">
      <w:pPr>
        <w:spacing w:before="80" w:after="80" w:line="276" w:lineRule="auto"/>
        <w:rPr>
          <w:rFonts w:ascii="Calibri" w:hAnsi="Calibri" w:cs="Calibri"/>
          <w:sz w:val="24"/>
          <w:szCs w:val="24"/>
        </w:rPr>
      </w:pPr>
    </w:p>
    <w:p w14:paraId="4850FDE8" w14:textId="72A93C80" w:rsidR="004A5915" w:rsidRPr="00EF744E" w:rsidRDefault="004A5915" w:rsidP="00EF744E">
      <w:pPr>
        <w:pStyle w:val="ListParagraph"/>
        <w:numPr>
          <w:ilvl w:val="0"/>
          <w:numId w:val="3"/>
        </w:numPr>
        <w:spacing w:before="200" w:after="100" w:line="276" w:lineRule="auto"/>
        <w:rPr>
          <w:rFonts w:ascii="Calibri" w:hAnsi="Calibri" w:cs="Calibri"/>
          <w:sz w:val="24"/>
          <w:szCs w:val="24"/>
        </w:rPr>
      </w:pPr>
      <w:r w:rsidRPr="00EF744E">
        <w:rPr>
          <w:rFonts w:ascii="Calibri" w:hAnsi="Calibri" w:cs="Calibri"/>
          <w:b/>
          <w:bCs/>
          <w:sz w:val="24"/>
          <w:szCs w:val="24"/>
        </w:rPr>
        <w:t>Town centres and retail</w:t>
      </w:r>
    </w:p>
    <w:p w14:paraId="6629938E" w14:textId="77777777" w:rsidR="004A5915" w:rsidRPr="00611601" w:rsidRDefault="004A5915" w:rsidP="00611601">
      <w:pPr>
        <w:pStyle w:val="ListParagraph"/>
        <w:numPr>
          <w:ilvl w:val="0"/>
          <w:numId w:val="1"/>
        </w:numPr>
        <w:spacing w:before="60" w:after="60" w:line="276" w:lineRule="auto"/>
        <w:contextualSpacing w:val="0"/>
        <w:rPr>
          <w:rFonts w:ascii="Calibri" w:hAnsi="Calibri" w:cs="Calibri"/>
          <w:sz w:val="24"/>
          <w:szCs w:val="24"/>
        </w:rPr>
      </w:pPr>
      <w:r w:rsidRPr="00611601">
        <w:rPr>
          <w:rFonts w:ascii="Calibri" w:hAnsi="Calibri" w:cs="Calibri"/>
          <w:sz w:val="24"/>
          <w:szCs w:val="24"/>
        </w:rPr>
        <w:t>The sequential test for retail development is being made more flexible, reflecting the shift toward mixed-use and edge-of-town development.</w:t>
      </w:r>
    </w:p>
    <w:p w14:paraId="640EAC77" w14:textId="77777777" w:rsidR="004A5915" w:rsidRPr="00611601" w:rsidRDefault="004A5915" w:rsidP="00611601">
      <w:pPr>
        <w:pStyle w:val="ListParagraph"/>
        <w:numPr>
          <w:ilvl w:val="0"/>
          <w:numId w:val="1"/>
        </w:numPr>
        <w:spacing w:before="60" w:after="60" w:line="276" w:lineRule="auto"/>
        <w:contextualSpacing w:val="0"/>
        <w:rPr>
          <w:rFonts w:ascii="Calibri" w:hAnsi="Calibri" w:cs="Calibri"/>
          <w:sz w:val="24"/>
          <w:szCs w:val="24"/>
        </w:rPr>
      </w:pPr>
      <w:r w:rsidRPr="00611601">
        <w:rPr>
          <w:rFonts w:ascii="Calibri" w:hAnsi="Calibri" w:cs="Calibri"/>
          <w:sz w:val="24"/>
          <w:szCs w:val="24"/>
        </w:rPr>
        <w:t>A 'vision-led' approach to transport policy is introduced — transport decisions should be driven by purposeful outcomes (supporting growth) rather than default constraint.</w:t>
      </w:r>
    </w:p>
    <w:p w14:paraId="21FB3111" w14:textId="77777777" w:rsidR="004A5915" w:rsidRPr="00611601" w:rsidRDefault="004A5915" w:rsidP="00611601">
      <w:pPr>
        <w:spacing w:before="80" w:after="80" w:line="276" w:lineRule="auto"/>
        <w:rPr>
          <w:rFonts w:ascii="Calibri" w:hAnsi="Calibri" w:cs="Calibri"/>
          <w:sz w:val="24"/>
          <w:szCs w:val="24"/>
        </w:rPr>
      </w:pPr>
    </w:p>
    <w:p w14:paraId="3C9618DE" w14:textId="5C360A31" w:rsidR="004A5915" w:rsidRPr="001A4B79" w:rsidRDefault="004A5915" w:rsidP="001A4B79">
      <w:pPr>
        <w:pStyle w:val="ListParagraph"/>
        <w:numPr>
          <w:ilvl w:val="0"/>
          <w:numId w:val="3"/>
        </w:numPr>
        <w:spacing w:before="200" w:after="100" w:line="276" w:lineRule="auto"/>
        <w:rPr>
          <w:rFonts w:ascii="Calibri" w:hAnsi="Calibri" w:cs="Calibri"/>
          <w:sz w:val="24"/>
          <w:szCs w:val="24"/>
        </w:rPr>
      </w:pPr>
      <w:r w:rsidRPr="001A4B79">
        <w:rPr>
          <w:rFonts w:ascii="Calibri" w:hAnsi="Calibri" w:cs="Calibri"/>
          <w:b/>
          <w:bCs/>
          <w:sz w:val="24"/>
          <w:szCs w:val="24"/>
        </w:rPr>
        <w:t>Housing density and grey belt</w:t>
      </w:r>
    </w:p>
    <w:p w14:paraId="6544BF42" w14:textId="66063F37" w:rsidR="004A5915" w:rsidRPr="00611601" w:rsidRDefault="00525132" w:rsidP="00611601">
      <w:pPr>
        <w:pStyle w:val="ListParagraph"/>
        <w:numPr>
          <w:ilvl w:val="0"/>
          <w:numId w:val="1"/>
        </w:numPr>
        <w:spacing w:before="60" w:after="60" w:line="276" w:lineRule="auto"/>
        <w:contextualSpacing w:val="0"/>
        <w:rPr>
          <w:rFonts w:ascii="Calibri" w:hAnsi="Calibri" w:cs="Calibri"/>
          <w:sz w:val="24"/>
          <w:szCs w:val="24"/>
        </w:rPr>
      </w:pPr>
      <w:r>
        <w:rPr>
          <w:rFonts w:ascii="Calibri" w:hAnsi="Calibri" w:cs="Calibri"/>
          <w:sz w:val="24"/>
          <w:szCs w:val="24"/>
        </w:rPr>
        <w:t>N</w:t>
      </w:r>
      <w:r w:rsidR="004A5915" w:rsidRPr="00611601">
        <w:rPr>
          <w:rFonts w:ascii="Calibri" w:hAnsi="Calibri" w:cs="Calibri"/>
          <w:sz w:val="24"/>
          <w:szCs w:val="24"/>
        </w:rPr>
        <w:t>ew minimum densities</w:t>
      </w:r>
      <w:r>
        <w:rPr>
          <w:rFonts w:ascii="Calibri" w:hAnsi="Calibri" w:cs="Calibri"/>
          <w:sz w:val="24"/>
          <w:szCs w:val="24"/>
        </w:rPr>
        <w:t xml:space="preserve"> of housing</w:t>
      </w:r>
      <w:r w:rsidR="004A5915" w:rsidRPr="00611601">
        <w:rPr>
          <w:rFonts w:ascii="Calibri" w:hAnsi="Calibri" w:cs="Calibri"/>
          <w:sz w:val="24"/>
          <w:szCs w:val="24"/>
        </w:rPr>
        <w:t xml:space="preserve"> near well-connected stations: 40 dwellings per hectare, rising to 50 where four or more trains per hour stop.</w:t>
      </w:r>
    </w:p>
    <w:p w14:paraId="196A332D" w14:textId="77777777" w:rsidR="004A5915" w:rsidRPr="00611601" w:rsidRDefault="004A5915" w:rsidP="00611601">
      <w:pPr>
        <w:pStyle w:val="ListParagraph"/>
        <w:numPr>
          <w:ilvl w:val="0"/>
          <w:numId w:val="1"/>
        </w:numPr>
        <w:spacing w:before="60" w:after="60" w:line="276" w:lineRule="auto"/>
        <w:contextualSpacing w:val="0"/>
        <w:rPr>
          <w:rFonts w:ascii="Calibri" w:hAnsi="Calibri" w:cs="Calibri"/>
          <w:sz w:val="24"/>
          <w:szCs w:val="24"/>
        </w:rPr>
      </w:pPr>
      <w:r w:rsidRPr="00611601">
        <w:rPr>
          <w:rFonts w:ascii="Calibri" w:hAnsi="Calibri" w:cs="Calibri"/>
          <w:sz w:val="24"/>
          <w:szCs w:val="24"/>
        </w:rPr>
        <w:t>The green belt is being 'opened up' rather than ended. A new 'grey belt' concept applies to previously developed land within the green belt. Residential development on grey belt land carries a 50% affordable housing requirement as a 'golden thread'.</w:t>
      </w:r>
    </w:p>
    <w:p w14:paraId="1A3A03EA" w14:textId="77777777" w:rsidR="004A5915" w:rsidRPr="00611601" w:rsidRDefault="004A5915" w:rsidP="00611601">
      <w:pPr>
        <w:pStyle w:val="ListParagraph"/>
        <w:numPr>
          <w:ilvl w:val="0"/>
          <w:numId w:val="1"/>
        </w:numPr>
        <w:spacing w:before="60" w:after="60" w:line="276" w:lineRule="auto"/>
        <w:contextualSpacing w:val="0"/>
        <w:rPr>
          <w:rFonts w:ascii="Calibri" w:hAnsi="Calibri" w:cs="Calibri"/>
          <w:sz w:val="24"/>
          <w:szCs w:val="24"/>
        </w:rPr>
      </w:pPr>
      <w:r w:rsidRPr="00611601">
        <w:rPr>
          <w:rFonts w:ascii="Calibri" w:hAnsi="Calibri" w:cs="Calibri"/>
          <w:sz w:val="24"/>
          <w:szCs w:val="24"/>
        </w:rPr>
        <w:lastRenderedPageBreak/>
        <w:t>Grey belt policy currently applies to residential use only — there is no equivalent provision for economic development sites.</w:t>
      </w:r>
    </w:p>
    <w:p w14:paraId="3EB4F52F" w14:textId="77777777" w:rsidR="004A5915" w:rsidRPr="00611601" w:rsidRDefault="004A5915" w:rsidP="00611601">
      <w:pPr>
        <w:spacing w:before="80" w:after="80" w:line="276" w:lineRule="auto"/>
        <w:rPr>
          <w:rFonts w:ascii="Calibri" w:hAnsi="Calibri" w:cs="Calibri"/>
          <w:sz w:val="24"/>
          <w:szCs w:val="24"/>
        </w:rPr>
      </w:pPr>
    </w:p>
    <w:p w14:paraId="3F2EE95C" w14:textId="426C2934" w:rsidR="004A5915" w:rsidRPr="00BB1188" w:rsidRDefault="004A5915" w:rsidP="00BB1188">
      <w:pPr>
        <w:pStyle w:val="ListParagraph"/>
        <w:numPr>
          <w:ilvl w:val="0"/>
          <w:numId w:val="3"/>
        </w:numPr>
        <w:spacing w:before="200" w:after="100" w:line="276" w:lineRule="auto"/>
        <w:rPr>
          <w:rFonts w:ascii="Calibri" w:hAnsi="Calibri" w:cs="Calibri"/>
          <w:sz w:val="24"/>
          <w:szCs w:val="24"/>
        </w:rPr>
      </w:pPr>
      <w:r w:rsidRPr="00BB1188">
        <w:rPr>
          <w:rFonts w:ascii="Calibri" w:hAnsi="Calibri" w:cs="Calibri"/>
          <w:b/>
          <w:bCs/>
          <w:sz w:val="24"/>
          <w:szCs w:val="24"/>
        </w:rPr>
        <w:t>Flood risk</w:t>
      </w:r>
    </w:p>
    <w:p w14:paraId="05BB4DBC" w14:textId="37D54002" w:rsidR="004A5915" w:rsidRPr="00611601" w:rsidRDefault="004A5915" w:rsidP="00611601">
      <w:pPr>
        <w:pStyle w:val="ListParagraph"/>
        <w:numPr>
          <w:ilvl w:val="0"/>
          <w:numId w:val="1"/>
        </w:numPr>
        <w:spacing w:before="60" w:after="60" w:line="276" w:lineRule="auto"/>
        <w:contextualSpacing w:val="0"/>
        <w:rPr>
          <w:rFonts w:ascii="Calibri" w:hAnsi="Calibri" w:cs="Calibri"/>
          <w:sz w:val="24"/>
          <w:szCs w:val="24"/>
        </w:rPr>
      </w:pPr>
      <w:r w:rsidRPr="00611601">
        <w:rPr>
          <w:rFonts w:ascii="Calibri" w:hAnsi="Calibri" w:cs="Calibri"/>
          <w:sz w:val="24"/>
          <w:szCs w:val="24"/>
        </w:rPr>
        <w:t xml:space="preserve">A strengthened precautionary principle on flood risk. The sequential test and flood risk appraisal requirements are being tightened, though this is not an absolute prohibition </w:t>
      </w:r>
      <w:r w:rsidR="00BB1188">
        <w:rPr>
          <w:rFonts w:ascii="Calibri" w:hAnsi="Calibri" w:cs="Calibri"/>
          <w:sz w:val="24"/>
          <w:szCs w:val="24"/>
        </w:rPr>
        <w:t>to</w:t>
      </w:r>
      <w:r w:rsidRPr="00611601">
        <w:rPr>
          <w:rFonts w:ascii="Calibri" w:hAnsi="Calibri" w:cs="Calibri"/>
          <w:sz w:val="24"/>
          <w:szCs w:val="24"/>
        </w:rPr>
        <w:t xml:space="preserve"> development in flood areas.</w:t>
      </w:r>
    </w:p>
    <w:p w14:paraId="7DA1DA91" w14:textId="77777777" w:rsidR="004A5915" w:rsidRPr="00611601" w:rsidRDefault="004A5915" w:rsidP="00611601">
      <w:pPr>
        <w:spacing w:before="80" w:after="80" w:line="276" w:lineRule="auto"/>
        <w:rPr>
          <w:rFonts w:ascii="Calibri" w:hAnsi="Calibri" w:cs="Calibri"/>
          <w:sz w:val="24"/>
          <w:szCs w:val="24"/>
        </w:rPr>
      </w:pPr>
    </w:p>
    <w:p w14:paraId="454AF27F" w14:textId="2F81D639" w:rsidR="004A5915" w:rsidRPr="00BB1188" w:rsidRDefault="004A5915" w:rsidP="00BB1188">
      <w:pPr>
        <w:pStyle w:val="ListParagraph"/>
        <w:numPr>
          <w:ilvl w:val="0"/>
          <w:numId w:val="3"/>
        </w:numPr>
        <w:spacing w:before="200" w:after="100" w:line="276" w:lineRule="auto"/>
        <w:rPr>
          <w:rFonts w:ascii="Calibri" w:hAnsi="Calibri" w:cs="Calibri"/>
          <w:sz w:val="24"/>
          <w:szCs w:val="24"/>
        </w:rPr>
      </w:pPr>
      <w:r w:rsidRPr="00BB1188">
        <w:rPr>
          <w:rFonts w:ascii="Calibri" w:hAnsi="Calibri" w:cs="Calibri"/>
          <w:b/>
          <w:bCs/>
          <w:sz w:val="24"/>
          <w:szCs w:val="24"/>
        </w:rPr>
        <w:t>Spatial Development Strategies and plan hierarchy</w:t>
      </w:r>
    </w:p>
    <w:p w14:paraId="6745DBDC" w14:textId="5CDA0413" w:rsidR="004A5915" w:rsidRPr="00611601" w:rsidRDefault="004A5915" w:rsidP="00611601">
      <w:pPr>
        <w:pStyle w:val="ListParagraph"/>
        <w:numPr>
          <w:ilvl w:val="0"/>
          <w:numId w:val="1"/>
        </w:numPr>
        <w:spacing w:before="60" w:after="60" w:line="276" w:lineRule="auto"/>
        <w:contextualSpacing w:val="0"/>
        <w:rPr>
          <w:rFonts w:ascii="Calibri" w:hAnsi="Calibri" w:cs="Calibri"/>
          <w:sz w:val="24"/>
          <w:szCs w:val="24"/>
        </w:rPr>
      </w:pPr>
      <w:r w:rsidRPr="00611601">
        <w:rPr>
          <w:rFonts w:ascii="Calibri" w:hAnsi="Calibri" w:cs="Calibri"/>
          <w:sz w:val="24"/>
          <w:szCs w:val="24"/>
        </w:rPr>
        <w:t>A new tier is being introduced above local plans: Spatial Development Strategies (SDS). The proposed Thames Valley SDS would cover Oxfordshire, Buckinghamshire, Swindon, and the Berkshire unitar</w:t>
      </w:r>
      <w:r w:rsidR="00DF29E9">
        <w:rPr>
          <w:rFonts w:ascii="Calibri" w:hAnsi="Calibri" w:cs="Calibri"/>
          <w:sz w:val="24"/>
          <w:szCs w:val="24"/>
        </w:rPr>
        <w:t>y authoritie</w:t>
      </w:r>
      <w:r w:rsidRPr="00611601">
        <w:rPr>
          <w:rFonts w:ascii="Calibri" w:hAnsi="Calibri" w:cs="Calibri"/>
          <w:sz w:val="24"/>
          <w:szCs w:val="24"/>
        </w:rPr>
        <w:t>s — a large area stretching from the edge of Heathrow to Swindon.</w:t>
      </w:r>
    </w:p>
    <w:p w14:paraId="7E106C12" w14:textId="77777777" w:rsidR="004A5915" w:rsidRPr="00611601" w:rsidRDefault="004A5915" w:rsidP="00611601">
      <w:pPr>
        <w:pStyle w:val="ListParagraph"/>
        <w:numPr>
          <w:ilvl w:val="0"/>
          <w:numId w:val="1"/>
        </w:numPr>
        <w:spacing w:before="60" w:after="60" w:line="276" w:lineRule="auto"/>
        <w:contextualSpacing w:val="0"/>
        <w:rPr>
          <w:rFonts w:ascii="Calibri" w:hAnsi="Calibri" w:cs="Calibri"/>
          <w:sz w:val="24"/>
          <w:szCs w:val="24"/>
        </w:rPr>
      </w:pPr>
      <w:r w:rsidRPr="00611601">
        <w:rPr>
          <w:rFonts w:ascii="Calibri" w:hAnsi="Calibri" w:cs="Calibri"/>
          <w:sz w:val="24"/>
          <w:szCs w:val="24"/>
        </w:rPr>
        <w:t>SDS would address strategic development needs over 20 years at a high level: major settlement choices, infrastructure, transport, energy, water.</w:t>
      </w:r>
    </w:p>
    <w:p w14:paraId="570EF6FB" w14:textId="77777777" w:rsidR="004A5915" w:rsidRPr="00611601" w:rsidRDefault="004A5915" w:rsidP="00611601">
      <w:pPr>
        <w:pStyle w:val="ListParagraph"/>
        <w:numPr>
          <w:ilvl w:val="0"/>
          <w:numId w:val="1"/>
        </w:numPr>
        <w:spacing w:before="60" w:after="60" w:line="276" w:lineRule="auto"/>
        <w:contextualSpacing w:val="0"/>
        <w:rPr>
          <w:rFonts w:ascii="Calibri" w:hAnsi="Calibri" w:cs="Calibri"/>
          <w:sz w:val="24"/>
          <w:szCs w:val="24"/>
        </w:rPr>
      </w:pPr>
      <w:r w:rsidRPr="00611601">
        <w:rPr>
          <w:rFonts w:ascii="Calibri" w:hAnsi="Calibri" w:cs="Calibri"/>
          <w:sz w:val="24"/>
          <w:szCs w:val="24"/>
        </w:rPr>
        <w:t>Consultation on the SDS geography is under way. Oxfordshire's local government reorganisation (expected decision later in 2026) will shape the SDS groupings.</w:t>
      </w:r>
    </w:p>
    <w:p w14:paraId="7425F28B" w14:textId="77777777" w:rsidR="004A5915" w:rsidRPr="00611601" w:rsidRDefault="004A5915" w:rsidP="00611601">
      <w:pPr>
        <w:pStyle w:val="ListParagraph"/>
        <w:numPr>
          <w:ilvl w:val="0"/>
          <w:numId w:val="1"/>
        </w:numPr>
        <w:spacing w:before="60" w:after="60" w:line="276" w:lineRule="auto"/>
        <w:contextualSpacing w:val="0"/>
        <w:rPr>
          <w:rFonts w:ascii="Calibri" w:hAnsi="Calibri" w:cs="Calibri"/>
          <w:sz w:val="24"/>
          <w:szCs w:val="24"/>
        </w:rPr>
      </w:pPr>
      <w:r w:rsidRPr="00611601">
        <w:rPr>
          <w:rFonts w:ascii="Calibri" w:hAnsi="Calibri" w:cs="Calibri"/>
          <w:sz w:val="24"/>
          <w:szCs w:val="24"/>
        </w:rPr>
        <w:t>The Oxford-Cambridge Growth Corridor and the broader system of nationally identified growth zones (Thames Gateway, Gatwick, London and home counties, Innovation Corridor, Heathrow zone) provide the wider context.</w:t>
      </w:r>
    </w:p>
    <w:p w14:paraId="4AEE5759" w14:textId="77777777" w:rsidR="003B3030" w:rsidRDefault="003B3030" w:rsidP="00611601">
      <w:pPr>
        <w:spacing w:line="276" w:lineRule="auto"/>
        <w:rPr>
          <w:rFonts w:ascii="Calibri" w:hAnsi="Calibri" w:cs="Calibri"/>
          <w:sz w:val="24"/>
          <w:szCs w:val="24"/>
        </w:rPr>
      </w:pPr>
    </w:p>
    <w:p w14:paraId="2D30C09F" w14:textId="2A6495B5" w:rsidR="000574D8" w:rsidRPr="00611601" w:rsidRDefault="000574D8" w:rsidP="00611601">
      <w:pPr>
        <w:spacing w:line="276" w:lineRule="auto"/>
        <w:rPr>
          <w:rFonts w:ascii="Calibri" w:hAnsi="Calibri" w:cs="Calibri"/>
          <w:sz w:val="24"/>
          <w:szCs w:val="24"/>
        </w:rPr>
      </w:pPr>
      <w:r>
        <w:rPr>
          <w:rFonts w:ascii="Calibri" w:hAnsi="Calibri" w:cs="Calibri"/>
          <w:sz w:val="24"/>
          <w:szCs w:val="24"/>
        </w:rPr>
        <w:t xml:space="preserve">This note accompanies </w:t>
      </w:r>
      <w:r w:rsidR="00374B67">
        <w:rPr>
          <w:rFonts w:ascii="Calibri" w:hAnsi="Calibri" w:cs="Calibri"/>
          <w:sz w:val="24"/>
          <w:szCs w:val="24"/>
        </w:rPr>
        <w:t>the slide deck provided – please refer to this also.</w:t>
      </w:r>
    </w:p>
    <w:sectPr w:rsidR="000574D8" w:rsidRPr="0061160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00328" w14:textId="77777777" w:rsidR="00DB0659" w:rsidRDefault="00DB0659" w:rsidP="003377D1">
      <w:r>
        <w:separator/>
      </w:r>
    </w:p>
  </w:endnote>
  <w:endnote w:type="continuationSeparator" w:id="0">
    <w:p w14:paraId="430A83D8" w14:textId="77777777" w:rsidR="00DB0659" w:rsidRDefault="00DB0659" w:rsidP="0033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0413" w14:textId="77777777" w:rsidR="00DB0659" w:rsidRDefault="00DB0659" w:rsidP="003377D1">
      <w:r>
        <w:separator/>
      </w:r>
    </w:p>
  </w:footnote>
  <w:footnote w:type="continuationSeparator" w:id="0">
    <w:p w14:paraId="0F604962" w14:textId="77777777" w:rsidR="00DB0659" w:rsidRDefault="00DB0659" w:rsidP="00337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E1D3" w14:textId="1E868529" w:rsidR="003377D1" w:rsidRDefault="003377D1">
    <w:pPr>
      <w:pStyle w:val="Header"/>
    </w:pPr>
    <w:r>
      <w:rPr>
        <w:noProof/>
        <w14:ligatures w14:val="standardContextual"/>
      </w:rPr>
      <w:drawing>
        <wp:inline distT="0" distB="0" distL="0" distR="0" wp14:anchorId="3904CEF9" wp14:editId="235E4358">
          <wp:extent cx="1201542" cy="488950"/>
          <wp:effectExtent l="0" t="0" r="0" b="0"/>
          <wp:docPr id="362494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94821" name="Picture 362494821"/>
                  <pic:cNvPicPr/>
                </pic:nvPicPr>
                <pic:blipFill>
                  <a:blip r:embed="rId1">
                    <a:extLst>
                      <a:ext uri="{28A0092B-C50C-407E-A947-70E740481C1C}">
                        <a14:useLocalDpi xmlns:a14="http://schemas.microsoft.com/office/drawing/2010/main" val="0"/>
                      </a:ext>
                    </a:extLst>
                  </a:blip>
                  <a:stretch>
                    <a:fillRect/>
                  </a:stretch>
                </pic:blipFill>
                <pic:spPr>
                  <a:xfrm>
                    <a:off x="0" y="0"/>
                    <a:ext cx="1207974" cy="491567"/>
                  </a:xfrm>
                  <a:prstGeom prst="rect">
                    <a:avLst/>
                  </a:prstGeom>
                </pic:spPr>
              </pic:pic>
            </a:graphicData>
          </a:graphic>
        </wp:inline>
      </w:drawing>
    </w:r>
  </w:p>
  <w:p w14:paraId="7C07B201" w14:textId="77777777" w:rsidR="003377D1" w:rsidRDefault="00337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93B"/>
    <w:multiLevelType w:val="multilevel"/>
    <w:tmpl w:val="8D7E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927189"/>
    <w:multiLevelType w:val="hybridMultilevel"/>
    <w:tmpl w:val="E4F64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DD2E10"/>
    <w:multiLevelType w:val="hybridMultilevel"/>
    <w:tmpl w:val="A95A6E7E"/>
    <w:lvl w:ilvl="0" w:tplc="505645F0">
      <w:start w:val="1"/>
      <w:numFmt w:val="bullet"/>
      <w:lvlText w:val="•"/>
      <w:lvlJc w:val="left"/>
      <w:pPr>
        <w:ind w:left="720" w:hanging="360"/>
      </w:pPr>
    </w:lvl>
    <w:lvl w:ilvl="1" w:tplc="7242B7EC">
      <w:numFmt w:val="decimal"/>
      <w:lvlText w:val=""/>
      <w:lvlJc w:val="left"/>
    </w:lvl>
    <w:lvl w:ilvl="2" w:tplc="8B8C0E20">
      <w:numFmt w:val="decimal"/>
      <w:lvlText w:val=""/>
      <w:lvlJc w:val="left"/>
    </w:lvl>
    <w:lvl w:ilvl="3" w:tplc="4BFEC9B0">
      <w:numFmt w:val="decimal"/>
      <w:lvlText w:val=""/>
      <w:lvlJc w:val="left"/>
    </w:lvl>
    <w:lvl w:ilvl="4" w:tplc="F498F740">
      <w:numFmt w:val="decimal"/>
      <w:lvlText w:val=""/>
      <w:lvlJc w:val="left"/>
    </w:lvl>
    <w:lvl w:ilvl="5" w:tplc="EF900C28">
      <w:numFmt w:val="decimal"/>
      <w:lvlText w:val=""/>
      <w:lvlJc w:val="left"/>
    </w:lvl>
    <w:lvl w:ilvl="6" w:tplc="B6D20780">
      <w:numFmt w:val="decimal"/>
      <w:lvlText w:val=""/>
      <w:lvlJc w:val="left"/>
    </w:lvl>
    <w:lvl w:ilvl="7" w:tplc="F8A6AD44">
      <w:numFmt w:val="decimal"/>
      <w:lvlText w:val=""/>
      <w:lvlJc w:val="left"/>
    </w:lvl>
    <w:lvl w:ilvl="8" w:tplc="A40624FE">
      <w:numFmt w:val="decimal"/>
      <w:lvlText w:val=""/>
      <w:lvlJc w:val="left"/>
    </w:lvl>
  </w:abstractNum>
  <w:num w:numId="1" w16cid:durableId="1198008669">
    <w:abstractNumId w:val="2"/>
    <w:lvlOverride w:ilvl="0">
      <w:startOverride w:val="1"/>
    </w:lvlOverride>
  </w:num>
  <w:num w:numId="2" w16cid:durableId="1678770790">
    <w:abstractNumId w:val="0"/>
  </w:num>
  <w:num w:numId="3" w16cid:durableId="1722513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15"/>
    <w:rsid w:val="00023997"/>
    <w:rsid w:val="000574D8"/>
    <w:rsid w:val="000E2AA3"/>
    <w:rsid w:val="001A4B79"/>
    <w:rsid w:val="003377D1"/>
    <w:rsid w:val="00374B67"/>
    <w:rsid w:val="003B3030"/>
    <w:rsid w:val="00425394"/>
    <w:rsid w:val="004A5915"/>
    <w:rsid w:val="00525132"/>
    <w:rsid w:val="005A4F8C"/>
    <w:rsid w:val="00611601"/>
    <w:rsid w:val="006F4E7F"/>
    <w:rsid w:val="00734914"/>
    <w:rsid w:val="008121C9"/>
    <w:rsid w:val="0082559E"/>
    <w:rsid w:val="00BB1188"/>
    <w:rsid w:val="00C32767"/>
    <w:rsid w:val="00CB11B8"/>
    <w:rsid w:val="00D80FE8"/>
    <w:rsid w:val="00DB0659"/>
    <w:rsid w:val="00DF29E9"/>
    <w:rsid w:val="00E20C8C"/>
    <w:rsid w:val="00EF7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1EFE2"/>
  <w15:chartTrackingRefBased/>
  <w15:docId w15:val="{B820F2BD-1C0C-433B-A868-460FAD53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915"/>
    <w:pPr>
      <w:spacing w:after="0" w:line="240"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4A5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5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9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9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9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9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915"/>
    <w:rPr>
      <w:rFonts w:eastAsiaTheme="majorEastAsia" w:cstheme="majorBidi"/>
      <w:color w:val="272727" w:themeColor="text1" w:themeTint="D8"/>
    </w:rPr>
  </w:style>
  <w:style w:type="paragraph" w:styleId="Title">
    <w:name w:val="Title"/>
    <w:basedOn w:val="Normal"/>
    <w:next w:val="Normal"/>
    <w:link w:val="TitleChar"/>
    <w:uiPriority w:val="10"/>
    <w:qFormat/>
    <w:rsid w:val="004A59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915"/>
    <w:pPr>
      <w:spacing w:before="160"/>
      <w:jc w:val="center"/>
    </w:pPr>
    <w:rPr>
      <w:i/>
      <w:iCs/>
      <w:color w:val="404040" w:themeColor="text1" w:themeTint="BF"/>
    </w:rPr>
  </w:style>
  <w:style w:type="character" w:customStyle="1" w:styleId="QuoteChar">
    <w:name w:val="Quote Char"/>
    <w:basedOn w:val="DefaultParagraphFont"/>
    <w:link w:val="Quote"/>
    <w:uiPriority w:val="29"/>
    <w:rsid w:val="004A5915"/>
    <w:rPr>
      <w:i/>
      <w:iCs/>
      <w:color w:val="404040" w:themeColor="text1" w:themeTint="BF"/>
    </w:rPr>
  </w:style>
  <w:style w:type="paragraph" w:styleId="ListParagraph">
    <w:name w:val="List Paragraph"/>
    <w:basedOn w:val="Normal"/>
    <w:qFormat/>
    <w:rsid w:val="004A5915"/>
    <w:pPr>
      <w:ind w:left="720"/>
      <w:contextualSpacing/>
    </w:pPr>
  </w:style>
  <w:style w:type="character" w:styleId="IntenseEmphasis">
    <w:name w:val="Intense Emphasis"/>
    <w:basedOn w:val="DefaultParagraphFont"/>
    <w:uiPriority w:val="21"/>
    <w:qFormat/>
    <w:rsid w:val="004A5915"/>
    <w:rPr>
      <w:i/>
      <w:iCs/>
      <w:color w:val="0F4761" w:themeColor="accent1" w:themeShade="BF"/>
    </w:rPr>
  </w:style>
  <w:style w:type="paragraph" w:styleId="IntenseQuote">
    <w:name w:val="Intense Quote"/>
    <w:basedOn w:val="Normal"/>
    <w:next w:val="Normal"/>
    <w:link w:val="IntenseQuoteChar"/>
    <w:uiPriority w:val="30"/>
    <w:qFormat/>
    <w:rsid w:val="004A5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915"/>
    <w:rPr>
      <w:i/>
      <w:iCs/>
      <w:color w:val="0F4761" w:themeColor="accent1" w:themeShade="BF"/>
    </w:rPr>
  </w:style>
  <w:style w:type="character" w:styleId="IntenseReference">
    <w:name w:val="Intense Reference"/>
    <w:basedOn w:val="DefaultParagraphFont"/>
    <w:uiPriority w:val="32"/>
    <w:qFormat/>
    <w:rsid w:val="004A5915"/>
    <w:rPr>
      <w:b/>
      <w:bCs/>
      <w:smallCaps/>
      <w:color w:val="0F4761" w:themeColor="accent1" w:themeShade="BF"/>
      <w:spacing w:val="5"/>
    </w:rPr>
  </w:style>
  <w:style w:type="character" w:styleId="Strong">
    <w:name w:val="Strong"/>
    <w:basedOn w:val="DefaultParagraphFont"/>
    <w:uiPriority w:val="22"/>
    <w:qFormat/>
    <w:rsid w:val="004A5915"/>
    <w:rPr>
      <w:b/>
      <w:bCs/>
    </w:rPr>
  </w:style>
  <w:style w:type="paragraph" w:styleId="Header">
    <w:name w:val="header"/>
    <w:basedOn w:val="Normal"/>
    <w:link w:val="HeaderChar"/>
    <w:uiPriority w:val="99"/>
    <w:unhideWhenUsed/>
    <w:rsid w:val="003377D1"/>
    <w:pPr>
      <w:tabs>
        <w:tab w:val="center" w:pos="4513"/>
        <w:tab w:val="right" w:pos="9026"/>
      </w:tabs>
    </w:pPr>
  </w:style>
  <w:style w:type="character" w:customStyle="1" w:styleId="HeaderChar">
    <w:name w:val="Header Char"/>
    <w:basedOn w:val="DefaultParagraphFont"/>
    <w:link w:val="Header"/>
    <w:uiPriority w:val="99"/>
    <w:rsid w:val="003377D1"/>
    <w:rPr>
      <w:rFonts w:ascii="Arial" w:eastAsia="Arial" w:hAnsi="Arial" w:cs="Arial"/>
      <w:kern w:val="0"/>
      <w:lang w:eastAsia="en-GB"/>
      <w14:ligatures w14:val="none"/>
    </w:rPr>
  </w:style>
  <w:style w:type="paragraph" w:styleId="Footer">
    <w:name w:val="footer"/>
    <w:basedOn w:val="Normal"/>
    <w:link w:val="FooterChar"/>
    <w:uiPriority w:val="99"/>
    <w:unhideWhenUsed/>
    <w:rsid w:val="003377D1"/>
    <w:pPr>
      <w:tabs>
        <w:tab w:val="center" w:pos="4513"/>
        <w:tab w:val="right" w:pos="9026"/>
      </w:tabs>
    </w:pPr>
  </w:style>
  <w:style w:type="character" w:customStyle="1" w:styleId="FooterChar">
    <w:name w:val="Footer Char"/>
    <w:basedOn w:val="DefaultParagraphFont"/>
    <w:link w:val="Footer"/>
    <w:uiPriority w:val="99"/>
    <w:rsid w:val="003377D1"/>
    <w:rPr>
      <w:rFonts w:ascii="Arial" w:eastAsia="Arial"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Haywood</dc:creator>
  <cp:keywords/>
  <dc:description/>
  <cp:lastModifiedBy>Sarah Haywood</cp:lastModifiedBy>
  <cp:revision>17</cp:revision>
  <dcterms:created xsi:type="dcterms:W3CDTF">2026-03-26T12:02:00Z</dcterms:created>
  <dcterms:modified xsi:type="dcterms:W3CDTF">2026-03-26T15:42:00Z</dcterms:modified>
</cp:coreProperties>
</file>